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138D9">
      <w:pPr>
        <w:ind w:firstLine="1600" w:firstLineChars="400"/>
        <w:jc w:val="both"/>
        <w:rPr>
          <w:rFonts w:hint="default" w:ascii="华文中宋" w:hAnsi="华文中宋" w:eastAsia="华文中宋" w:cs="华文中宋"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>（2026）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盘兴劳人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>仲终56号</w:t>
      </w:r>
    </w:p>
    <w:p w14:paraId="6DCF55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eastAsia="仿宋_GB2312" w:cs="宋体"/>
          <w:b/>
          <w:bCs/>
          <w:kern w:val="0"/>
          <w:sz w:val="32"/>
          <w:szCs w:val="32"/>
          <w:lang w:val="en-US" w:eastAsia="zh-CN"/>
        </w:rPr>
      </w:pPr>
    </w:p>
    <w:p w14:paraId="57BAB50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/>
        <w:jc w:val="left"/>
        <w:textAlignment w:val="auto"/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宋体"/>
          <w:kern w:val="0"/>
          <w:sz w:val="32"/>
          <w:szCs w:val="32"/>
          <w:lang w:val="en-US" w:eastAsia="zh-CN" w:bidi="ar-SA"/>
        </w:rPr>
        <w:t>新亿诚东北（辽宁）电子商务有限公司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：</w:t>
      </w:r>
    </w:p>
    <w:p w14:paraId="59F3EA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本委受理申请人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张菊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诉你单位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 w:bidi="ar-SA"/>
        </w:rPr>
        <w:t>劳动报酬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纠纷一案（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）盘兴劳人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 w:bidi="ar-SA"/>
        </w:rPr>
        <w:t>仲56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号，已作出仲裁裁决。根据《中华人民共和国劳动法》第五十条，《中华人民共和国劳动争议调解仲裁法》第六条、第三十六条第二款、第四十七条的规定，本委依法作出缺席裁决如下：</w:t>
      </w:r>
    </w:p>
    <w:p w14:paraId="537B8B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被申请人支付申请人2023年8月1日至2024年2月20日期间工资29158.79元。</w:t>
      </w:r>
    </w:p>
    <w:p w14:paraId="479CD8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本裁决为终局裁决，自作出之日起发生法律效力。当事人应当自收到本裁决之日起十五日内履行。</w:t>
      </w:r>
      <w:bookmarkStart w:id="0" w:name="_GoBack"/>
      <w:bookmarkEnd w:id="0"/>
    </w:p>
    <w:p w14:paraId="3231BE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根据《中华人民共和国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instrText xml:space="preserve"> HYPERLINK "https://www.66law.cn/tiaoli/988.aspx" \o "劳动争议调解仲裁法" \t "_blank" </w:instrTex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劳动争议调解仲裁法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》第四十八条的规定，劳动者对本裁决不服的，可以自收到仲裁裁决书之日起十五日内向人民法院起诉。用人单位自收到本裁决之日起三十日内有权利依据《中华人民共和国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instrText xml:space="preserve"> HYPERLINK "https://www.66law.cn/tiaoli/988.aspx" \o "劳动争议调解仲裁法" \t "_blank" </w:instrTex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劳动争议调解仲裁法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》第四十九条规定向本委所在地的中级人民法院申请撤销裁决。一方当事人拒不履行生效仲裁裁决的，另一方当事人可以向当地人民法院申请强制执行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。</w:t>
      </w:r>
    </w:p>
    <w:p w14:paraId="6D1652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因用其他方式无法向你单位送达仲裁文书，现依法向你公告送达（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）盘兴劳人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 w:bidi="ar-SA"/>
        </w:rPr>
        <w:t>仲终56</w:t>
      </w: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>号仲裁裁决书，自公告之日起经30日即视为送达。</w:t>
      </w:r>
    </w:p>
    <w:p w14:paraId="1AE4C3E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jc w:val="left"/>
        <w:textAlignment w:val="auto"/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lang w:val="en-US" w:eastAsia="zh-CN" w:bidi="ar-SA"/>
        </w:rPr>
        <w:t xml:space="preserve">特此公告              </w:t>
      </w:r>
    </w:p>
    <w:p w14:paraId="634C308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8077F2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D9D86B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834" w:leftChars="1064" w:right="0" w:hanging="1600" w:hanging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2026年6月16日</w:t>
      </w:r>
    </w:p>
    <w:p w14:paraId="7A2C1DE4"/>
    <w:sectPr>
      <w:pgSz w:w="11906" w:h="16838"/>
      <w:pgMar w:top="1270" w:right="1800" w:bottom="127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84ABD"/>
    <w:rsid w:val="2F0B1100"/>
    <w:rsid w:val="6369585B"/>
    <w:rsid w:val="6CA9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440</Characters>
  <Lines>0</Lines>
  <Paragraphs>0</Paragraphs>
  <TotalTime>0</TotalTime>
  <ScaleCrop>false</ScaleCrop>
  <LinksUpToDate>false</LinksUpToDate>
  <CharactersWithSpaces>454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2026-02-26T01:17:00Z</dcterms:created>
  <dc:creator>Administrator</dc:creator>
  <cp:lastModifiedBy>谢佳霖</cp:lastModifiedBy>
  <dcterms:modified xsi:type="dcterms:W3CDTF">2026-06-16T07:34:35Z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eyJoZGlkIjoiZmM2Y2NmOTc3OTg5YmE2M2VmYjIzYmVmMGUyMmMwN2EiLCJ1c2VySWQiOiIxODAwMDk1MDkzIn0=</vt:lpwstr>
  </property>
  <property fmtid="{D5CDD505-2E9C-101B-9397-08002B2CF9AE}" pid="4" name="ICV">
    <vt:lpwstr>91DE7DF500F74F42939966CA9E279995_12</vt:lpwstr>
  </property>
</Properties>
</file>