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54457B">
      <w:pPr>
        <w:spacing w:line="600" w:lineRule="exact"/>
        <w:rPr>
          <w:rFonts w:ascii="黑体" w:hAnsi="黑体" w:eastAsia="黑体"/>
          <w:sz w:val="32"/>
        </w:rPr>
      </w:pPr>
      <w:r>
        <w:rPr>
          <w:rFonts w:hint="eastAsia" w:ascii="黑体" w:hAnsi="黑体" w:eastAsia="黑体"/>
          <w:sz w:val="32"/>
        </w:rPr>
        <w:t>附件1</w:t>
      </w:r>
    </w:p>
    <w:p w14:paraId="4254DF78">
      <w:pPr>
        <w:spacing w:line="600" w:lineRule="exact"/>
        <w:jc w:val="center"/>
        <w:rPr>
          <w:rFonts w:hint="eastAsia" w:ascii="方正小标宋简体" w:hAnsi="黑体" w:eastAsia="方正小标宋简体"/>
          <w:sz w:val="44"/>
          <w:szCs w:val="44"/>
        </w:rPr>
      </w:pPr>
    </w:p>
    <w:p w14:paraId="3D4BDFCD">
      <w:pPr>
        <w:spacing w:line="600" w:lineRule="exact"/>
        <w:jc w:val="center"/>
        <w:rPr>
          <w:rFonts w:hint="eastAsia" w:ascii="方正小标宋简体" w:hAnsi="黑体" w:eastAsia="方正小标宋简体"/>
          <w:sz w:val="44"/>
          <w:szCs w:val="44"/>
        </w:rPr>
      </w:pPr>
      <w:r>
        <w:rPr>
          <w:rFonts w:hint="eastAsia" w:ascii="方正小标宋简体" w:hAnsi="黑体" w:eastAsia="方正小标宋简体"/>
          <w:sz w:val="44"/>
          <w:szCs w:val="44"/>
        </w:rPr>
        <w:t>辽宁省工伤预防工作联席会议工作规则</w:t>
      </w:r>
    </w:p>
    <w:p w14:paraId="65352103">
      <w:pPr>
        <w:spacing w:line="600" w:lineRule="exact"/>
        <w:rPr>
          <w:rFonts w:hint="eastAsia" w:ascii="黑体" w:hAnsi="黑体" w:eastAsia="黑体"/>
          <w:sz w:val="32"/>
        </w:rPr>
      </w:pPr>
    </w:p>
    <w:p w14:paraId="42C2D714">
      <w:pPr>
        <w:spacing w:line="600" w:lineRule="exact"/>
        <w:ind w:firstLine="640" w:firstLineChars="200"/>
        <w:rPr>
          <w:rFonts w:hint="eastAsia" w:ascii="Times New Roman" w:hAnsi="Times New Roman" w:eastAsia="仿宋_GB2312"/>
          <w:sz w:val="32"/>
        </w:rPr>
      </w:pPr>
      <w:r>
        <w:rPr>
          <w:rFonts w:hint="eastAsia" w:ascii="Times New Roman" w:hAnsi="Times New Roman" w:eastAsia="仿宋_GB2312"/>
          <w:sz w:val="32"/>
        </w:rPr>
        <w:t>为进一步加强工伤预防工作的组织领导，强化部门间协调配合，减少工伤事故伤害和职业病发生，根据人力资源社会保障部等九部门《关于印发〈工伤预防五年行动计划（</w:t>
      </w:r>
      <w:r>
        <w:rPr>
          <w:rFonts w:ascii="Times New Roman" w:hAnsi="Times New Roman" w:eastAsia="仿宋_GB2312"/>
          <w:sz w:val="32"/>
        </w:rPr>
        <w:t>2026</w:t>
      </w:r>
      <w:r>
        <w:rPr>
          <w:rFonts w:hint="eastAsia" w:ascii="Times New Roman" w:hAnsi="Times New Roman" w:eastAsia="仿宋_GB2312"/>
          <w:sz w:val="32"/>
        </w:rPr>
        <w:t>—</w:t>
      </w:r>
      <w:r>
        <w:rPr>
          <w:rFonts w:ascii="Times New Roman" w:hAnsi="Times New Roman" w:eastAsia="仿宋_GB2312"/>
          <w:sz w:val="32"/>
        </w:rPr>
        <w:t>2030</w:t>
      </w:r>
      <w:r>
        <w:rPr>
          <w:rFonts w:hint="eastAsia" w:ascii="Times New Roman" w:hAnsi="Times New Roman" w:eastAsia="仿宋_GB2312"/>
          <w:sz w:val="32"/>
        </w:rPr>
        <w:t>年）〉的通知》（人社部发〔</w:t>
      </w:r>
      <w:r>
        <w:rPr>
          <w:rFonts w:ascii="Times New Roman" w:hAnsi="Times New Roman" w:eastAsia="仿宋_GB2312"/>
          <w:sz w:val="32"/>
        </w:rPr>
        <w:t>2026</w:t>
      </w:r>
      <w:r>
        <w:rPr>
          <w:rFonts w:hint="eastAsia" w:ascii="Times New Roman" w:hAnsi="Times New Roman" w:eastAsia="仿宋_GB2312"/>
          <w:sz w:val="32"/>
        </w:rPr>
        <w:t>〕</w:t>
      </w:r>
      <w:r>
        <w:rPr>
          <w:rFonts w:ascii="Times New Roman" w:hAnsi="Times New Roman" w:eastAsia="仿宋_GB2312"/>
          <w:sz w:val="32"/>
        </w:rPr>
        <w:t>20</w:t>
      </w:r>
      <w:r>
        <w:rPr>
          <w:rFonts w:hint="eastAsia" w:ascii="Times New Roman" w:hAnsi="Times New Roman" w:eastAsia="仿宋_GB2312"/>
          <w:sz w:val="32"/>
        </w:rPr>
        <w:t>号）及有关规定，决定建立省工伤预防工作联席会议制度。</w:t>
      </w:r>
    </w:p>
    <w:p w14:paraId="575EE0A0">
      <w:pPr>
        <w:spacing w:line="600" w:lineRule="exact"/>
        <w:ind w:firstLine="640" w:firstLineChars="200"/>
        <w:rPr>
          <w:rFonts w:ascii="黑体" w:hAnsi="黑体" w:eastAsia="黑体"/>
          <w:sz w:val="32"/>
        </w:rPr>
      </w:pPr>
      <w:r>
        <w:rPr>
          <w:rFonts w:hint="eastAsia" w:ascii="黑体" w:hAnsi="黑体" w:eastAsia="黑体"/>
          <w:sz w:val="32"/>
        </w:rPr>
        <w:t>一、成员单位</w:t>
      </w:r>
    </w:p>
    <w:p w14:paraId="4D540769">
      <w:pPr>
        <w:spacing w:line="600" w:lineRule="exact"/>
        <w:ind w:firstLine="640" w:firstLineChars="200"/>
        <w:rPr>
          <w:rFonts w:hint="eastAsia" w:ascii="仿宋_GB2312" w:hAnsi="黑体" w:eastAsia="仿宋_GB2312"/>
          <w:sz w:val="32"/>
        </w:rPr>
      </w:pPr>
      <w:r>
        <w:rPr>
          <w:rFonts w:hint="eastAsia" w:ascii="仿宋_GB2312" w:hAnsi="黑体" w:eastAsia="仿宋_GB2312"/>
          <w:sz w:val="32"/>
        </w:rPr>
        <w:t>联席会议由省人力资源和社会保障厅、省工业和信息化厅、省财政厅、省住房和城乡建设厅、省交通运输厅、省卫生健康委员会、省应急管理厅、省市场监督管理局、省总工会等单位组成。联席会议召集人由省人力资源和社会保障厅分管负责同志担任，其他成员单位</w:t>
      </w:r>
      <w:r>
        <w:rPr>
          <w:rFonts w:ascii="Times New Roman" w:hAnsi="Times New Roman" w:eastAsia="仿宋_GB2312"/>
          <w:sz w:val="32"/>
        </w:rPr>
        <w:t>1</w:t>
      </w:r>
      <w:r>
        <w:rPr>
          <w:rFonts w:hint="eastAsia" w:ascii="仿宋_GB2312" w:hAnsi="黑体" w:eastAsia="仿宋_GB2312"/>
          <w:sz w:val="32"/>
        </w:rPr>
        <w:t>名有关处室负责同志为联席会议成员。</w:t>
      </w:r>
    </w:p>
    <w:p w14:paraId="06A8EF57">
      <w:pPr>
        <w:spacing w:line="600" w:lineRule="exact"/>
        <w:ind w:firstLine="640" w:firstLineChars="200"/>
        <w:rPr>
          <w:rFonts w:hint="eastAsia" w:ascii="黑体" w:hAnsi="黑体" w:eastAsia="黑体"/>
          <w:sz w:val="32"/>
        </w:rPr>
      </w:pPr>
      <w:r>
        <w:rPr>
          <w:rFonts w:hint="eastAsia" w:ascii="黑体" w:hAnsi="黑体" w:eastAsia="黑体"/>
          <w:sz w:val="32"/>
        </w:rPr>
        <w:t>二、主要职责</w:t>
      </w:r>
    </w:p>
    <w:p w14:paraId="6898B656">
      <w:pPr>
        <w:spacing w:line="600" w:lineRule="exact"/>
        <w:ind w:firstLine="640" w:firstLineChars="200"/>
        <w:rPr>
          <w:rFonts w:hint="eastAsia" w:ascii="仿宋_GB2312" w:hAnsi="黑体" w:eastAsia="仿宋_GB2312"/>
          <w:sz w:val="32"/>
        </w:rPr>
      </w:pPr>
      <w:r>
        <w:rPr>
          <w:rFonts w:hint="eastAsia" w:ascii="仿宋_GB2312" w:hAnsi="黑体" w:eastAsia="仿宋_GB2312"/>
          <w:sz w:val="32"/>
        </w:rPr>
        <w:t>（一）贯彻落实人力资源社会保障部等部委关于工伤预防工作的决策部署，统筹协调全省工伤预防工作；</w:t>
      </w:r>
    </w:p>
    <w:p w14:paraId="18347688">
      <w:pPr>
        <w:spacing w:line="600" w:lineRule="exact"/>
        <w:ind w:firstLine="640" w:firstLineChars="200"/>
        <w:rPr>
          <w:rFonts w:hint="eastAsia" w:ascii="仿宋_GB2312" w:hAnsi="黑体" w:eastAsia="仿宋_GB2312"/>
          <w:sz w:val="32"/>
        </w:rPr>
      </w:pPr>
      <w:r>
        <w:rPr>
          <w:rFonts w:hint="eastAsia" w:ascii="仿宋_GB2312" w:hAnsi="黑体" w:eastAsia="仿宋_GB2312"/>
          <w:sz w:val="32"/>
        </w:rPr>
        <w:t>（二）督促落实工伤保险法律法规，研究确定全省工伤预防重点领域和工伤预防项目；</w:t>
      </w:r>
    </w:p>
    <w:p w14:paraId="134D3CDE">
      <w:pPr>
        <w:spacing w:line="600" w:lineRule="exact"/>
        <w:ind w:firstLine="640" w:firstLineChars="200"/>
        <w:rPr>
          <w:rFonts w:hint="eastAsia" w:ascii="仿宋_GB2312" w:hAnsi="黑体" w:eastAsia="仿宋_GB2312"/>
          <w:sz w:val="32"/>
        </w:rPr>
      </w:pPr>
      <w:r>
        <w:rPr>
          <w:rFonts w:hint="eastAsia" w:ascii="仿宋_GB2312" w:hAnsi="黑体" w:eastAsia="仿宋_GB2312"/>
          <w:sz w:val="32"/>
        </w:rPr>
        <w:t>（三）建立信息共享机制，定期通报全省工伤预防费使用、工伤事故、职业病、安全生产事故等情况；</w:t>
      </w:r>
    </w:p>
    <w:p w14:paraId="53ADFDBC">
      <w:pPr>
        <w:spacing w:line="600" w:lineRule="exact"/>
        <w:ind w:firstLine="640" w:firstLineChars="200"/>
        <w:rPr>
          <w:rFonts w:hint="eastAsia" w:ascii="仿宋_GB2312" w:hAnsi="黑体" w:eastAsia="仿宋_GB2312"/>
          <w:sz w:val="32"/>
        </w:rPr>
      </w:pPr>
      <w:r>
        <w:rPr>
          <w:rFonts w:hint="eastAsia" w:ascii="仿宋_GB2312" w:hAnsi="黑体" w:eastAsia="仿宋_GB2312"/>
          <w:sz w:val="32"/>
        </w:rPr>
        <w:t>（四）建立省级工伤预防专家库。</w:t>
      </w:r>
    </w:p>
    <w:p w14:paraId="22653A64">
      <w:pPr>
        <w:spacing w:line="600" w:lineRule="exact"/>
        <w:ind w:firstLine="640" w:firstLineChars="200"/>
        <w:rPr>
          <w:rFonts w:hint="eastAsia" w:ascii="黑体" w:hAnsi="黑体" w:eastAsia="黑体"/>
          <w:sz w:val="32"/>
        </w:rPr>
      </w:pPr>
      <w:r>
        <w:rPr>
          <w:rFonts w:hint="eastAsia" w:ascii="黑体" w:hAnsi="黑体" w:eastAsia="黑体"/>
          <w:sz w:val="32"/>
        </w:rPr>
        <w:t>三、议事规则</w:t>
      </w:r>
    </w:p>
    <w:p w14:paraId="5D1EA2AB">
      <w:pPr>
        <w:spacing w:line="600" w:lineRule="exact"/>
        <w:ind w:firstLine="640" w:firstLineChars="200"/>
        <w:rPr>
          <w:rFonts w:hint="eastAsia" w:ascii="仿宋_GB2312" w:hAnsi="黑体" w:eastAsia="仿宋_GB2312"/>
          <w:sz w:val="32"/>
        </w:rPr>
      </w:pPr>
      <w:r>
        <w:rPr>
          <w:rFonts w:hint="eastAsia" w:ascii="仿宋_GB2312" w:hAnsi="黑体" w:eastAsia="仿宋_GB2312"/>
          <w:sz w:val="32"/>
        </w:rPr>
        <w:t>联席会议根据工作需要定期或不定期召开，由召集人或召集人委托办公室主任主持召开，相关成员单位参加。联席会议以会议纪要形式明确会议议定事项。</w:t>
      </w:r>
    </w:p>
    <w:p w14:paraId="488B3826">
      <w:pPr>
        <w:spacing w:line="600" w:lineRule="exact"/>
        <w:ind w:firstLine="640" w:firstLineChars="200"/>
        <w:rPr>
          <w:rFonts w:hint="eastAsia" w:ascii="黑体" w:hAnsi="黑体" w:eastAsia="黑体"/>
          <w:sz w:val="32"/>
        </w:rPr>
      </w:pPr>
      <w:r>
        <w:rPr>
          <w:rFonts w:hint="eastAsia" w:ascii="黑体" w:hAnsi="黑体" w:eastAsia="黑体"/>
          <w:sz w:val="32"/>
        </w:rPr>
        <w:t>四、工作要求</w:t>
      </w:r>
    </w:p>
    <w:p w14:paraId="4F33F783">
      <w:pPr>
        <w:spacing w:line="600" w:lineRule="exact"/>
        <w:ind w:firstLine="640" w:firstLineChars="200"/>
        <w:rPr>
          <w:rFonts w:hint="eastAsia" w:ascii="仿宋_GB2312" w:hAnsi="黑体" w:eastAsia="仿宋_GB2312"/>
          <w:sz w:val="32"/>
        </w:rPr>
      </w:pPr>
      <w:r>
        <w:rPr>
          <w:rFonts w:hint="eastAsia" w:ascii="仿宋_GB2312" w:hAnsi="黑体" w:eastAsia="仿宋_GB2312"/>
          <w:sz w:val="32"/>
        </w:rPr>
        <w:t>（一）联席会议成员单位建立完善信息交换、数据共享机制，实现人员信息、事故信息、职业病信息和涉及生产安全事故的工伤认定信息、工伤保险待遇支付等相关数据共享，对发生的重大生产安全事故、工伤事故及群体性职业病，应及时相互通报相关情况。</w:t>
      </w:r>
    </w:p>
    <w:p w14:paraId="719E6D13">
      <w:pPr>
        <w:spacing w:line="600" w:lineRule="exact"/>
        <w:ind w:firstLine="640" w:firstLineChars="200"/>
        <w:rPr>
          <w:rFonts w:hint="eastAsia" w:ascii="仿宋_GB2312" w:hAnsi="黑体" w:eastAsia="仿宋_GB2312"/>
          <w:sz w:val="32"/>
        </w:rPr>
      </w:pPr>
      <w:r>
        <w:rPr>
          <w:rFonts w:hint="eastAsia" w:ascii="仿宋_GB2312" w:hAnsi="黑体" w:eastAsia="仿宋_GB2312"/>
          <w:sz w:val="32"/>
        </w:rPr>
        <w:t>（二）联席会议成员单位应当按照职责分工，深入研究推进工伤预防工作中的重大问题；认真落实联席会议确定的工作任务和议定事项；加强沟通、密切配合，相互支持、形成合力，充分发挥联席会议的作用，共同推进工伤预防工作。</w:t>
      </w:r>
    </w:p>
    <w:p w14:paraId="1F7BE59E">
      <w:pPr>
        <w:spacing w:line="600" w:lineRule="exact"/>
        <w:ind w:firstLine="640" w:firstLineChars="200"/>
        <w:rPr>
          <w:rFonts w:hint="eastAsia" w:ascii="黑体" w:hAnsi="黑体" w:eastAsia="黑体"/>
          <w:sz w:val="32"/>
        </w:rPr>
      </w:pPr>
      <w:r>
        <w:rPr>
          <w:rFonts w:hint="eastAsia" w:ascii="黑体" w:hAnsi="黑体" w:eastAsia="黑体"/>
          <w:sz w:val="32"/>
        </w:rPr>
        <w:t>五、组成人员</w:t>
      </w:r>
    </w:p>
    <w:p w14:paraId="7AD763E3">
      <w:pPr>
        <w:spacing w:line="600" w:lineRule="exact"/>
        <w:ind w:firstLine="640" w:firstLineChars="200"/>
        <w:rPr>
          <w:rFonts w:hint="eastAsia" w:ascii="仿宋_GB2312" w:hAnsi="黑体" w:eastAsia="仿宋_GB2312"/>
          <w:sz w:val="32"/>
        </w:rPr>
      </w:pPr>
      <w:r>
        <w:rPr>
          <w:rFonts w:hint="eastAsia" w:ascii="仿宋_GB2312" w:hAnsi="黑体" w:eastAsia="仿宋_GB2312"/>
          <w:sz w:val="32"/>
        </w:rPr>
        <w:t>召集人：马  健  省人力资源社会保障厅党组成员、副厅长</w:t>
      </w:r>
    </w:p>
    <w:p w14:paraId="367CF79F">
      <w:pPr>
        <w:spacing w:line="600" w:lineRule="exact"/>
        <w:ind w:firstLine="640" w:firstLineChars="200"/>
        <w:rPr>
          <w:rFonts w:hint="eastAsia" w:ascii="仿宋_GB2312" w:hAnsi="黑体" w:eastAsia="仿宋_GB2312"/>
          <w:sz w:val="32"/>
        </w:rPr>
      </w:pPr>
      <w:r>
        <w:rPr>
          <w:rFonts w:hint="eastAsia" w:ascii="仿宋_GB2312" w:hAnsi="黑体" w:eastAsia="仿宋_GB2312"/>
          <w:sz w:val="32"/>
        </w:rPr>
        <w:t>成  员：汪金华  省工业和信息化厅民爆安全处处长</w:t>
      </w:r>
    </w:p>
    <w:p w14:paraId="59EE8682">
      <w:pPr>
        <w:spacing w:line="600" w:lineRule="exact"/>
        <w:ind w:firstLine="1920" w:firstLineChars="600"/>
        <w:rPr>
          <w:rFonts w:hint="eastAsia" w:ascii="仿宋_GB2312" w:hAnsi="黑体" w:eastAsia="仿宋_GB2312"/>
          <w:sz w:val="32"/>
        </w:rPr>
      </w:pPr>
      <w:r>
        <w:rPr>
          <w:rFonts w:hint="eastAsia" w:ascii="仿宋_GB2312" w:hAnsi="黑体" w:eastAsia="仿宋_GB2312"/>
          <w:sz w:val="32"/>
        </w:rPr>
        <w:t>杜延令  省财政厅社会保障处处长</w:t>
      </w:r>
    </w:p>
    <w:p w14:paraId="6AF8F787">
      <w:pPr>
        <w:spacing w:line="600" w:lineRule="exact"/>
        <w:ind w:firstLine="1920" w:firstLineChars="600"/>
        <w:rPr>
          <w:rFonts w:hint="eastAsia" w:ascii="仿宋_GB2312" w:hAnsi="黑体" w:eastAsia="仿宋_GB2312"/>
          <w:sz w:val="32"/>
        </w:rPr>
      </w:pPr>
      <w:r>
        <w:rPr>
          <w:rFonts w:hint="eastAsia" w:ascii="仿宋_GB2312" w:hAnsi="黑体" w:eastAsia="仿宋_GB2312"/>
          <w:sz w:val="32"/>
        </w:rPr>
        <w:t>王  力  省人力资源社会保障厅工伤保险处处长</w:t>
      </w:r>
    </w:p>
    <w:p w14:paraId="2B908F25">
      <w:pPr>
        <w:spacing w:line="600" w:lineRule="exact"/>
        <w:ind w:firstLine="1920" w:firstLineChars="600"/>
        <w:rPr>
          <w:rFonts w:hint="eastAsia" w:ascii="仿宋_GB2312" w:hAnsi="黑体" w:eastAsia="仿宋_GB2312"/>
          <w:sz w:val="32"/>
        </w:rPr>
      </w:pPr>
      <w:r>
        <w:rPr>
          <w:rFonts w:hint="eastAsia" w:ascii="仿宋_GB2312" w:hAnsi="黑体" w:eastAsia="仿宋_GB2312"/>
          <w:sz w:val="32"/>
        </w:rPr>
        <w:t xml:space="preserve">王海东  </w:t>
      </w:r>
      <w:r>
        <w:rPr>
          <w:rFonts w:hint="eastAsia" w:ascii="仿宋_GB2312" w:hAnsi="黑体" w:eastAsia="仿宋_GB2312"/>
          <w:spacing w:val="-10"/>
          <w:sz w:val="32"/>
        </w:rPr>
        <w:t>省住房城乡建设厅工程质量安全监督处处长</w:t>
      </w:r>
    </w:p>
    <w:p w14:paraId="45AE5369">
      <w:pPr>
        <w:spacing w:line="600" w:lineRule="exact"/>
        <w:ind w:firstLine="1920" w:firstLineChars="600"/>
        <w:rPr>
          <w:rFonts w:hint="eastAsia" w:ascii="仿宋_GB2312" w:hAnsi="黑体" w:eastAsia="仿宋_GB2312"/>
          <w:sz w:val="32"/>
        </w:rPr>
      </w:pPr>
      <w:r>
        <w:rPr>
          <w:rFonts w:hint="eastAsia" w:ascii="仿宋_GB2312" w:hAnsi="黑体" w:eastAsia="仿宋_GB2312"/>
          <w:sz w:val="32"/>
        </w:rPr>
        <w:t>周  鑫  省交通运输厅安全与质量监督处处长</w:t>
      </w:r>
    </w:p>
    <w:p w14:paraId="2BD437A8">
      <w:pPr>
        <w:spacing w:line="600" w:lineRule="exact"/>
        <w:ind w:firstLine="1920" w:firstLineChars="600"/>
        <w:rPr>
          <w:rFonts w:hint="eastAsia" w:ascii="仿宋_GB2312" w:hAnsi="黑体" w:eastAsia="仿宋_GB2312"/>
          <w:sz w:val="32"/>
        </w:rPr>
      </w:pPr>
      <w:r>
        <w:rPr>
          <w:rFonts w:hint="eastAsia" w:ascii="仿宋_GB2312" w:hAnsi="黑体" w:eastAsia="仿宋_GB2312"/>
          <w:sz w:val="32"/>
        </w:rPr>
        <w:t>赵纯柏  省卫生健康委员会职业健康处处长</w:t>
      </w:r>
    </w:p>
    <w:p w14:paraId="0FF620E9">
      <w:pPr>
        <w:spacing w:line="600" w:lineRule="exact"/>
        <w:ind w:firstLine="1920" w:firstLineChars="600"/>
        <w:rPr>
          <w:rFonts w:hint="eastAsia" w:ascii="仿宋_GB2312" w:hAnsi="黑体" w:eastAsia="仿宋_GB2312"/>
          <w:sz w:val="32"/>
        </w:rPr>
      </w:pPr>
      <w:r>
        <w:rPr>
          <w:rFonts w:hint="eastAsia" w:ascii="仿宋_GB2312" w:hAnsi="黑体" w:eastAsia="仿宋_GB2312"/>
          <w:sz w:val="32"/>
        </w:rPr>
        <w:t>王  新  省应急管理厅调查评估和统计处处长</w:t>
      </w:r>
    </w:p>
    <w:p w14:paraId="66FBF59F">
      <w:pPr>
        <w:spacing w:line="600" w:lineRule="exact"/>
        <w:ind w:firstLine="1920" w:firstLineChars="600"/>
        <w:rPr>
          <w:rFonts w:hint="eastAsia" w:ascii="仿宋_GB2312" w:hAnsi="黑体" w:eastAsia="仿宋_GB2312"/>
          <w:sz w:val="32"/>
        </w:rPr>
      </w:pPr>
      <w:r>
        <w:rPr>
          <w:rFonts w:hint="eastAsia" w:ascii="仿宋_GB2312" w:hAnsi="黑体" w:eastAsia="仿宋_GB2312"/>
          <w:sz w:val="32"/>
        </w:rPr>
        <w:t>徐东瑜  省市场监管局价格监督检查和反不正当</w:t>
      </w:r>
    </w:p>
    <w:p w14:paraId="0A63E941">
      <w:pPr>
        <w:spacing w:line="600" w:lineRule="exact"/>
        <w:ind w:firstLine="3200" w:firstLineChars="1000"/>
        <w:rPr>
          <w:rFonts w:hint="eastAsia" w:ascii="仿宋_GB2312" w:hAnsi="黑体" w:eastAsia="仿宋_GB2312"/>
          <w:sz w:val="32"/>
        </w:rPr>
      </w:pPr>
      <w:r>
        <w:rPr>
          <w:rFonts w:hint="eastAsia" w:ascii="仿宋_GB2312" w:hAnsi="黑体" w:eastAsia="仿宋_GB2312"/>
          <w:sz w:val="32"/>
        </w:rPr>
        <w:t>竞争处处长</w:t>
      </w:r>
    </w:p>
    <w:p w14:paraId="498273B8">
      <w:pPr>
        <w:spacing w:line="600" w:lineRule="exact"/>
        <w:ind w:firstLine="1920" w:firstLineChars="600"/>
        <w:rPr>
          <w:rFonts w:hint="eastAsia" w:ascii="仿宋_GB2312" w:hAnsi="黑体" w:eastAsia="仿宋_GB2312"/>
          <w:sz w:val="32"/>
        </w:rPr>
      </w:pPr>
      <w:r>
        <w:rPr>
          <w:rFonts w:hint="eastAsia" w:ascii="仿宋_GB2312" w:hAnsi="黑体" w:eastAsia="仿宋_GB2312"/>
          <w:sz w:val="32"/>
        </w:rPr>
        <w:t>于长远  省总工会劳动和经济工作部副部长</w:t>
      </w:r>
    </w:p>
    <w:p w14:paraId="3B0CED76">
      <w:pPr>
        <w:spacing w:line="600" w:lineRule="exact"/>
        <w:ind w:firstLine="640" w:firstLineChars="200"/>
        <w:rPr>
          <w:rFonts w:hint="eastAsia" w:ascii="仿宋_GB2312" w:hAnsi="黑体" w:eastAsia="仿宋_GB2312"/>
          <w:sz w:val="32"/>
        </w:rPr>
      </w:pPr>
      <w:r>
        <w:rPr>
          <w:rFonts w:hint="eastAsia" w:ascii="仿宋_GB2312" w:hAnsi="黑体" w:eastAsia="仿宋_GB2312"/>
          <w:sz w:val="32"/>
        </w:rPr>
        <w:t>省工伤预防工作联席会议下设办公室，设在省人力资源社会保障厅工伤保险处，负责日常工作。</w:t>
      </w:r>
    </w:p>
    <w:p w14:paraId="36044C3B">
      <w:r>
        <w:rPr>
          <w:rFonts w:hint="eastAsia" w:ascii="仿宋_GB2312" w:hAnsi="黑体" w:eastAsia="仿宋_GB2312"/>
          <w:sz w:val="32"/>
        </w:rPr>
        <w:br w:type="page"/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735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2026-10-26T01:43:47Z</dcterms:created>
  <dc:creator>Administrator</dc:creator>
  <cp:lastModifiedBy>雪雪</cp:lastModifiedBy>
  <dcterms:modified xsi:type="dcterms:W3CDTF">2026-10-26T01:43:59Z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eyJoZGlkIjoiMWJiM2NkNjhhZDhiYTMyNzgyZjFkM2UyOTg3YTM2MzkiLCJ1c2VySWQiOiIyNjI4NTUyMDYifQ==</vt:lpwstr>
  </property>
  <property fmtid="{D5CDD505-2E9C-101B-9397-08002B2CF9AE}" pid="4" name="ICV">
    <vt:lpwstr>3161048DCF7E420AAECBBD5EECA1BF0F_12</vt:lpwstr>
  </property>
</Properties>
</file>